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B8F" w:rsidRPr="00F6302A" w:rsidRDefault="00C74B8F" w:rsidP="00C74B8F">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9089F">
        <w:rPr>
          <w:lang w:val="en-US"/>
        </w:rPr>
        <w:t>8</w:t>
      </w:r>
      <w:r w:rsidR="0099089F">
        <w:rPr>
          <w:lang w:val="en-US"/>
        </w:rPr>
        <w:t>1</w:t>
      </w:r>
      <w:r w:rsidRPr="00F6302A">
        <w:rPr>
          <w:lang w:val="en-US"/>
        </w:rPr>
        <w:tab/>
      </w:r>
      <w:r>
        <w:rPr>
          <w:sz w:val="32"/>
          <w:szCs w:val="32"/>
          <w:lang w:val="en-US"/>
        </w:rPr>
        <w:t>R4</w:t>
      </w:r>
      <w:r w:rsidRPr="00F6302A">
        <w:rPr>
          <w:sz w:val="32"/>
          <w:szCs w:val="32"/>
          <w:lang w:val="en-US"/>
        </w:rPr>
        <w:t>-</w:t>
      </w:r>
      <w:r w:rsidR="0099089F">
        <w:rPr>
          <w:sz w:val="32"/>
          <w:szCs w:val="32"/>
          <w:lang w:val="en-US"/>
        </w:rPr>
        <w:t>16</w:t>
      </w:r>
      <w:r w:rsidR="0099089F">
        <w:rPr>
          <w:sz w:val="32"/>
          <w:szCs w:val="32"/>
          <w:lang w:val="en-US"/>
        </w:rPr>
        <w:t>xxxxx</w:t>
      </w:r>
    </w:p>
    <w:p w:rsidR="00C74B8F" w:rsidRPr="00F6302A" w:rsidRDefault="0099089F" w:rsidP="00C74B8F">
      <w:pPr>
        <w:pStyle w:val="3GPPHeader"/>
        <w:rPr>
          <w:lang w:val="en-US"/>
        </w:rPr>
      </w:pPr>
      <w:r>
        <w:rPr>
          <w:lang w:val="en-US"/>
        </w:rPr>
        <w:t xml:space="preserve">Reno, Nevada, USA, </w:t>
      </w:r>
      <w:r>
        <w:rPr>
          <w:lang w:val="en-US"/>
        </w:rPr>
        <w:t>1</w:t>
      </w:r>
      <w:r>
        <w:rPr>
          <w:lang w:val="en-US"/>
        </w:rPr>
        <w:t>4</w:t>
      </w:r>
      <w:r w:rsidRPr="009106CA">
        <w:rPr>
          <w:lang w:val="en-US"/>
        </w:rPr>
        <w:t xml:space="preserve">th </w:t>
      </w:r>
      <w:r w:rsidR="00C74B8F" w:rsidRPr="009106CA">
        <w:rPr>
          <w:lang w:val="en-US"/>
        </w:rPr>
        <w:t xml:space="preserve">– </w:t>
      </w:r>
      <w:r>
        <w:rPr>
          <w:lang w:val="en-US"/>
        </w:rPr>
        <w:t>1</w:t>
      </w:r>
      <w:r>
        <w:rPr>
          <w:lang w:val="en-US"/>
        </w:rPr>
        <w:t>8</w:t>
      </w:r>
      <w:r w:rsidRPr="009106CA">
        <w:rPr>
          <w:lang w:val="en-US"/>
        </w:rPr>
        <w:t xml:space="preserve">th </w:t>
      </w:r>
      <w:r>
        <w:rPr>
          <w:lang w:val="en-US"/>
        </w:rPr>
        <w:t>November</w:t>
      </w:r>
      <w:r w:rsidRPr="009106CA">
        <w:rPr>
          <w:lang w:val="en-US"/>
        </w:rPr>
        <w:t xml:space="preserve"> </w:t>
      </w:r>
      <w:r w:rsidR="00C74B8F" w:rsidRPr="009106CA">
        <w:rPr>
          <w:lang w:val="en-US"/>
        </w:rPr>
        <w:t>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99089F" w:rsidRPr="0099089F">
        <w:rPr>
          <w:sz w:val="22"/>
          <w:szCs w:val="22"/>
          <w:lang w:val="en-US"/>
        </w:rPr>
        <w:t>UL PC accuracy in SRS carrier based switching for LTE</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C3909">
        <w:rPr>
          <w:sz w:val="22"/>
          <w:szCs w:val="22"/>
          <w:lang w:val="en-US"/>
        </w:rPr>
        <w:t>8</w:t>
      </w:r>
      <w:r w:rsidRPr="00787677">
        <w:rPr>
          <w:sz w:val="22"/>
          <w:szCs w:val="22"/>
          <w:lang w:val="en-US"/>
        </w:rPr>
        <w:t>.</w:t>
      </w:r>
      <w:r w:rsidR="0099089F">
        <w:rPr>
          <w:sz w:val="22"/>
          <w:szCs w:val="22"/>
          <w:lang w:val="en-US"/>
        </w:rPr>
        <w:t>21</w:t>
      </w:r>
      <w:r w:rsidR="006466D1" w:rsidRPr="00787677">
        <w:rPr>
          <w:sz w:val="22"/>
          <w:szCs w:val="22"/>
          <w:lang w:val="en-US"/>
        </w:rPr>
        <w:t>.</w:t>
      </w:r>
      <w:r w:rsidR="00AC3909">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BA24A1">
        <w:rPr>
          <w:sz w:val="22"/>
          <w:szCs w:val="22"/>
          <w:lang w:val="en-US"/>
        </w:rPr>
        <w:t>Discussion</w:t>
      </w:r>
    </w:p>
    <w:p w:rsidR="00E90E49" w:rsidRPr="00F6302A" w:rsidRDefault="00E90E49" w:rsidP="00E90E49">
      <w:pPr>
        <w:pStyle w:val="Heading1"/>
        <w:rPr>
          <w:lang w:val="en-US"/>
        </w:rPr>
      </w:pPr>
      <w:r w:rsidRPr="00F6302A">
        <w:rPr>
          <w:lang w:val="en-US"/>
        </w:rPr>
        <w:t>Introduction</w:t>
      </w:r>
      <w:r w:rsidR="001C4220">
        <w:rPr>
          <w:lang w:val="en-US"/>
        </w:rPr>
        <w:t xml:space="preserve"> </w:t>
      </w:r>
    </w:p>
    <w:p w:rsidR="00253E53" w:rsidRDefault="00EC3CD9" w:rsidP="00253E53">
      <w:pPr>
        <w:pStyle w:val="BodyText"/>
        <w:rPr>
          <w:rFonts w:cs="Arial"/>
          <w:sz w:val="22"/>
          <w:szCs w:val="22"/>
          <w:lang w:val="en-US"/>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The objectives of the core part of the WI include the following:</w:t>
      </w:r>
    </w:p>
    <w:p w:rsidR="00253E53" w:rsidRPr="00B02C00" w:rsidRDefault="00253E53" w:rsidP="00253E53">
      <w:pPr>
        <w:spacing w:line="276" w:lineRule="auto"/>
        <w:contextualSpacing/>
        <w:rPr>
          <w:i/>
          <w:lang w:eastAsia="en-GB"/>
        </w:rPr>
      </w:pPr>
      <w:bookmarkStart w:id="0" w:name="OLE_LINK7"/>
      <w:r w:rsidRPr="00B02C00">
        <w:rPr>
          <w:i/>
          <w:lang w:eastAsia="en-GB"/>
        </w:rPr>
        <w:t>The WI is to specify enhancements for networks</w:t>
      </w:r>
      <w:r w:rsidRPr="00B02C00">
        <w:rPr>
          <w:rFonts w:hint="eastAsia"/>
          <w:i/>
          <w:lang w:eastAsia="en-GB"/>
        </w:rPr>
        <w:t xml:space="preserve"> </w:t>
      </w:r>
      <w:r w:rsidRPr="00B02C00">
        <w:rPr>
          <w:i/>
          <w:lang w:eastAsia="en-GB"/>
        </w:rPr>
        <w:t>operating with CA. The objectives of the WI are:</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 xml:space="preserve">To support SRS switching to and between TDD </w:t>
      </w:r>
      <w:bookmarkStart w:id="1" w:name="OLE_LINK10"/>
      <w:r w:rsidRPr="00B02C00">
        <w:rPr>
          <w:i/>
          <w:lang w:eastAsia="en-GB"/>
        </w:rPr>
        <w:t xml:space="preserve">component </w:t>
      </w:r>
      <w:bookmarkEnd w:id="1"/>
      <w:r w:rsidRPr="00B02C00">
        <w:rPr>
          <w:i/>
          <w:lang w:eastAsia="en-GB"/>
        </w:rPr>
        <w:t xml:space="preserve">carrier(s), </w:t>
      </w:r>
      <w:r w:rsidRPr="00B02C00">
        <w:rPr>
          <w:i/>
        </w:rPr>
        <w:t>where the component carriers available for SRS transmission correspond to the component carriers available for carrier aggregation of PDSCH, while the UE has fewer component carriers available for carrier aggregation of PUSCH</w:t>
      </w:r>
      <w:r w:rsidRPr="00B02C00">
        <w:rPr>
          <w:i/>
          <w:lang w:eastAsia="en-GB"/>
        </w:rPr>
        <w:t xml:space="preserve"> [RAN1, RAN2, </w:t>
      </w:r>
      <w:r w:rsidRPr="00B02C00">
        <w:rPr>
          <w:rFonts w:hint="eastAsia"/>
          <w:i/>
          <w:lang w:eastAsia="en-GB"/>
        </w:rPr>
        <w:t>RAN4</w:t>
      </w:r>
      <w:r w:rsidRPr="00B02C00">
        <w:rPr>
          <w:i/>
          <w:lang w:eastAsia="en-GB"/>
        </w:rPr>
        <w:t>]</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C</w:t>
      </w:r>
      <w:r w:rsidRPr="00B02C00">
        <w:rPr>
          <w:rFonts w:hint="eastAsia"/>
          <w:i/>
          <w:lang w:eastAsia="en-GB"/>
        </w:rPr>
        <w:t xml:space="preserve">orresponding </w:t>
      </w:r>
      <w:r w:rsidRPr="00B02C00">
        <w:rPr>
          <w:i/>
          <w:lang w:eastAsia="en-GB"/>
        </w:rPr>
        <w:t>UE and eNB core requirements</w:t>
      </w:r>
      <w:r w:rsidRPr="00B02C00">
        <w:rPr>
          <w:rFonts w:hint="eastAsia"/>
          <w:i/>
          <w:lang w:eastAsia="en-GB"/>
        </w:rPr>
        <w:t xml:space="preserve"> </w:t>
      </w:r>
      <w:r w:rsidRPr="00B02C00">
        <w:rPr>
          <w:i/>
          <w:lang w:eastAsia="en-GB"/>
        </w:rPr>
        <w:t>[</w:t>
      </w:r>
      <w:r w:rsidRPr="00B02C00">
        <w:rPr>
          <w:rFonts w:hint="eastAsia"/>
          <w:i/>
          <w:lang w:eastAsia="en-GB"/>
        </w:rPr>
        <w:t>RAN4</w:t>
      </w:r>
      <w:r w:rsidRPr="00B02C00">
        <w:rPr>
          <w:i/>
          <w:lang w:eastAsia="en-GB"/>
        </w:rPr>
        <w:t>]</w:t>
      </w:r>
      <w:r w:rsidRPr="00B02C00">
        <w:rPr>
          <w:rFonts w:hint="eastAsia"/>
          <w:i/>
          <w:lang w:eastAsia="en-GB"/>
        </w:rPr>
        <w:t>.</w:t>
      </w:r>
    </w:p>
    <w:bookmarkEnd w:id="0"/>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based on the above objective, we describe </w:t>
      </w:r>
      <w:r w:rsidR="00F951FE">
        <w:rPr>
          <w:rFonts w:cs="Arial"/>
          <w:bCs/>
          <w:sz w:val="22"/>
          <w:szCs w:val="22"/>
        </w:rPr>
        <w:t>U</w:t>
      </w:r>
      <w:r w:rsidR="0099089F">
        <w:rPr>
          <w:rFonts w:cs="Arial"/>
          <w:bCs/>
          <w:sz w:val="22"/>
          <w:szCs w:val="22"/>
        </w:rPr>
        <w:t>L PC accuracy issue</w:t>
      </w:r>
      <w:r w:rsidR="00F951FE">
        <w:rPr>
          <w:rFonts w:cs="Arial"/>
          <w:bCs/>
          <w:sz w:val="22"/>
          <w:szCs w:val="22"/>
        </w:rPr>
        <w:t xml:space="preserve"> related to SRS carrier based switching. </w:t>
      </w:r>
    </w:p>
    <w:p w:rsidR="00DD7794" w:rsidRDefault="00365D6E" w:rsidP="00B911B7">
      <w:pPr>
        <w:pStyle w:val="Heading1"/>
      </w:pPr>
      <w:r>
        <w:t>UL power control accuracy</w:t>
      </w:r>
    </w:p>
    <w:p w:rsidR="0099089F" w:rsidRDefault="00365D6E" w:rsidP="00B911B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As we have shown in our companion contribution </w:t>
      </w:r>
      <w:r w:rsidRPr="00B708F7">
        <w:rPr>
          <w:lang w:val="en-US"/>
        </w:rPr>
        <w:fldChar w:fldCharType="begin"/>
      </w:r>
      <w:r w:rsidRPr="00B708F7">
        <w:rPr>
          <w:lang w:val="en-US"/>
        </w:rPr>
        <w:instrText xml:space="preserve"> REF _Ref450844166 \r \h </w:instrText>
      </w:r>
      <w:r w:rsidR="001C4220">
        <w:rPr>
          <w:lang w:val="en-US"/>
        </w:rPr>
        <w:instrText xml:space="preserve"> \* MERGEFORMAT </w:instrText>
      </w:r>
      <w:r w:rsidRPr="00B708F7">
        <w:rPr>
          <w:lang w:val="en-US"/>
        </w:rPr>
      </w:r>
      <w:r w:rsidRPr="00B708F7">
        <w:rPr>
          <w:lang w:val="en-US"/>
        </w:rPr>
        <w:fldChar w:fldCharType="separate"/>
      </w:r>
      <w:r w:rsidRPr="00B708F7">
        <w:rPr>
          <w:lang w:val="en-US"/>
        </w:rPr>
        <w:t>[2]</w:t>
      </w:r>
      <w:r w:rsidRPr="00B708F7">
        <w:rPr>
          <w:lang w:val="en-US"/>
        </w:rPr>
        <w:fldChar w:fldCharType="end"/>
      </w:r>
      <w:r w:rsidRPr="00B708F7">
        <w:rPr>
          <w:lang w:val="en-US"/>
        </w:rPr>
        <w:t xml:space="preserve">, </w:t>
      </w:r>
      <w:r w:rsidR="0099089F">
        <w:rPr>
          <w:lang w:val="en-US"/>
        </w:rPr>
        <w:t>w</w:t>
      </w:r>
      <w:r w:rsidR="0099089F">
        <w:rPr>
          <w:lang w:val="en-US"/>
        </w:rPr>
        <w:t xml:space="preserve">e have a typical arrangement with 5DL CA and 2UL (or more UL) CA transmission in </w:t>
      </w:r>
      <w:r w:rsidR="0099089F">
        <w:rPr>
          <w:lang w:val="en-US"/>
        </w:rPr>
        <w:fldChar w:fldCharType="begin"/>
      </w:r>
      <w:r w:rsidR="0099089F">
        <w:rPr>
          <w:lang w:val="en-US"/>
        </w:rPr>
        <w:instrText xml:space="preserve"> REF _Ref449616840 \h </w:instrText>
      </w:r>
      <w:r w:rsidR="0099089F">
        <w:rPr>
          <w:lang w:val="en-US"/>
        </w:rPr>
      </w:r>
      <w:r w:rsidR="0099089F">
        <w:rPr>
          <w:lang w:val="en-US"/>
        </w:rPr>
        <w:fldChar w:fldCharType="separate"/>
      </w:r>
      <w:r w:rsidR="0099089F">
        <w:t xml:space="preserve">Figure </w:t>
      </w:r>
      <w:r w:rsidR="0099089F">
        <w:rPr>
          <w:noProof/>
        </w:rPr>
        <w:t>1</w:t>
      </w:r>
      <w:r w:rsidR="0099089F">
        <w:rPr>
          <w:lang w:val="en-US"/>
        </w:rPr>
        <w:fldChar w:fldCharType="end"/>
      </w:r>
      <w:r w:rsidR="0099089F">
        <w:rPr>
          <w:lang w:val="en-US"/>
        </w:rPr>
        <w:t xml:space="preserve">. This example shows a 5DL CA together with 2 UL CA, where one UL is fixed in the Pcell and the SRS switching is done on one of the SCells. So, at any point of time, it’s a 2UL CA combination. The same example scenario an also be shown with other numbers aggregated CCs in DL and UL respectively. </w:t>
      </w:r>
      <w:r w:rsidR="0099089F" w:rsidRPr="00B708F7">
        <w:rPr>
          <w:lang w:val="en-US"/>
        </w:rPr>
        <w:t>we can have a scenario where SRS carrier based switching can be performed on up to 4 carriers considering Rel-14 CA combinations. In this case, the SRS carrier based switching may need to be done quite frequently.</w:t>
      </w:r>
    </w:p>
    <w:p w:rsidR="0099089F" w:rsidRDefault="0099089F" w:rsidP="0099089F">
      <w:pPr>
        <w:ind w:left="576"/>
        <w:jc w:val="left"/>
        <w:rPr>
          <w:lang w:val="en-US"/>
        </w:rPr>
      </w:pPr>
      <w:r>
        <w:rPr>
          <w:noProof/>
          <w:lang w:val="sv-SE" w:eastAsia="sv-SE"/>
        </w:rPr>
        <w:drawing>
          <wp:inline distT="0" distB="0" distL="0" distR="0" wp14:anchorId="29172CEB" wp14:editId="7922FCDF">
            <wp:extent cx="3955653" cy="16348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rier arrangements.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60125" cy="1636650"/>
                    </a:xfrm>
                    <a:prstGeom prst="rect">
                      <a:avLst/>
                    </a:prstGeom>
                  </pic:spPr>
                </pic:pic>
              </a:graphicData>
            </a:graphic>
          </wp:inline>
        </w:drawing>
      </w:r>
    </w:p>
    <w:p w:rsidR="0099089F" w:rsidRDefault="0099089F" w:rsidP="0099089F">
      <w:pPr>
        <w:pStyle w:val="Caption"/>
        <w:jc w:val="both"/>
      </w:pPr>
      <w:bookmarkStart w:id="2" w:name="_Ref449616840"/>
      <w:r>
        <w:t xml:space="preserve">Figure </w:t>
      </w:r>
      <w:r>
        <w:fldChar w:fldCharType="begin"/>
      </w:r>
      <w:r>
        <w:instrText xml:space="preserve"> SEQ Figure \* ARABIC </w:instrText>
      </w:r>
      <w:r>
        <w:fldChar w:fldCharType="separate"/>
      </w:r>
      <w:r>
        <w:rPr>
          <w:noProof/>
        </w:rPr>
        <w:t>1</w:t>
      </w:r>
      <w:r>
        <w:fldChar w:fldCharType="end"/>
      </w:r>
      <w:bookmarkEnd w:id="2"/>
      <w:r>
        <w:t xml:space="preserve"> An example configuration with 5DL CA and 2 UL CA for SRS carrier based switching</w:t>
      </w:r>
    </w:p>
    <w:p w:rsidR="000144B3" w:rsidRPr="00B708F7" w:rsidRDefault="000144B3"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There is an additional UE power control tolerance issue which is described here. In </w:t>
      </w:r>
      <w:r w:rsidRPr="00B708F7">
        <w:rPr>
          <w:lang w:val="en-US"/>
        </w:rPr>
        <w:fldChar w:fldCharType="begin"/>
      </w:r>
      <w:r w:rsidRPr="00B708F7">
        <w:rPr>
          <w:lang w:val="en-US"/>
        </w:rPr>
        <w:instrText xml:space="preserve"> REF _Ref450844429 \r \h </w:instrText>
      </w:r>
      <w:r w:rsidR="001C4220">
        <w:rPr>
          <w:lang w:val="en-US"/>
        </w:rPr>
        <w:instrText xml:space="preserve"> \* MERGEFORMAT </w:instrText>
      </w:r>
      <w:r w:rsidRPr="00B708F7">
        <w:rPr>
          <w:lang w:val="en-US"/>
        </w:rPr>
      </w:r>
      <w:r w:rsidRPr="00B708F7">
        <w:rPr>
          <w:lang w:val="en-US"/>
        </w:rPr>
        <w:fldChar w:fldCharType="separate"/>
      </w:r>
      <w:r w:rsidRPr="00B708F7">
        <w:rPr>
          <w:lang w:val="en-US"/>
        </w:rPr>
        <w:t>[3]</w:t>
      </w:r>
      <w:r w:rsidRPr="00B708F7">
        <w:rPr>
          <w:lang w:val="en-US"/>
        </w:rPr>
        <w:fldChar w:fldCharType="end"/>
      </w:r>
      <w:r w:rsidRPr="00B708F7">
        <w:rPr>
          <w:lang w:val="en-US"/>
        </w:rPr>
        <w:t>, absolute and relative power tolerance are defined to control the UL transmit power quality. Absolute power tolerance is the ability of the UE transmitter to set its initial output power to a specific value for the first sub-frame at the start of a contiguous transmission or non-contiguous transmission with a transmission gap larger than 20ms. The absolute power tolerance is ± 9.0 dB in normal conditions and ± 12.0 dB in extreme conditions and applies over the power range bounded by the Maximum output power and the Minimum output power. The relative power tolerance is the ability of the UE transmitter to set its output power in a target sub-frame relatively to the power of the most recently transmitted reference sub-frame if the transmission gap between these sub-frames is ≤ 20 ms.</w:t>
      </w:r>
    </w:p>
    <w:p w:rsidR="00072917" w:rsidRDefault="000144B3"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lastRenderedPageBreak/>
        <w:t xml:space="preserve">For achieving UL power control accuracy, it is desired to transmit consecutive SRS transmission with a transmission gap less than 20ms. In that case, relative power levels can be used. </w:t>
      </w:r>
      <w:r w:rsidR="001C4220">
        <w:rPr>
          <w:lang w:val="en-US"/>
        </w:rPr>
        <w:t xml:space="preserve">As mentioned earlier, with larger number of carriers to switching in-between, if the above 20ms requirement needs to be met, then we need to perform SRS switching quite frequently. In that case, the DL transmissions will be interrupted very frequently, which will result in loss of DL capacity. </w:t>
      </w:r>
    </w:p>
    <w:p w:rsidR="001C4220" w:rsidRPr="00B708F7" w:rsidRDefault="001C4220"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Pr>
          <w:lang w:val="en-US"/>
        </w:rPr>
        <w:t>One alternative is to increase the t</w:t>
      </w:r>
      <w:r w:rsidR="00B708F7">
        <w:rPr>
          <w:lang w:val="en-US"/>
        </w:rPr>
        <w:t xml:space="preserve">ransmission gap for being able to apply relative power control tolerance in UL from 20ms to a higher number. As an example: this can be a function of number of carriers where SRS switching happens. </w:t>
      </w:r>
      <w:r>
        <w:rPr>
          <w:lang w:val="en-US"/>
        </w:rPr>
        <w:t xml:space="preserve"> </w:t>
      </w:r>
    </w:p>
    <w:p w:rsidR="0099089F" w:rsidRDefault="0099089F" w:rsidP="00B911B7">
      <w:pPr>
        <w:rPr>
          <w:lang w:val="en-US"/>
        </w:rPr>
      </w:pPr>
    </w:p>
    <w:p w:rsidR="0099089F" w:rsidRDefault="0099089F" w:rsidP="00B911B7">
      <w:pPr>
        <w:rPr>
          <w:lang w:val="en-US"/>
        </w:rPr>
      </w:pPr>
      <w:r>
        <w:rPr>
          <w:lang w:val="en-US"/>
        </w:rPr>
        <w:t xml:space="preserve">Using the above example, if we have 4 carriers on which the SRS carrier based switching should happen, then depending on the periodicity of the switching, we should redefine the transmission gap requirement for application relative UL power control parameters. An example is shown below: </w:t>
      </w:r>
    </w:p>
    <w:tbl>
      <w:tblPr>
        <w:tblStyle w:val="TableGrid"/>
        <w:tblW w:w="9865" w:type="dxa"/>
        <w:tblLook w:val="04A0" w:firstRow="1" w:lastRow="0" w:firstColumn="1" w:lastColumn="0" w:noHBand="0" w:noVBand="1"/>
      </w:tblPr>
      <w:tblGrid>
        <w:gridCol w:w="4361"/>
        <w:gridCol w:w="1269"/>
        <w:gridCol w:w="1424"/>
        <w:gridCol w:w="1276"/>
        <w:gridCol w:w="1525"/>
        <w:gridCol w:w="10"/>
      </w:tblGrid>
      <w:tr w:rsidR="000A52C4" w:rsidTr="00B911B7">
        <w:trPr>
          <w:gridAfter w:val="1"/>
          <w:wAfter w:w="10" w:type="dxa"/>
        </w:trPr>
        <w:tc>
          <w:tcPr>
            <w:tcW w:w="4361" w:type="dxa"/>
          </w:tcPr>
          <w:p w:rsidR="000A52C4" w:rsidRDefault="000A52C4" w:rsidP="0099089F">
            <w:pPr>
              <w:rPr>
                <w:lang w:val="en-US"/>
              </w:rPr>
            </w:pPr>
          </w:p>
        </w:tc>
        <w:tc>
          <w:tcPr>
            <w:tcW w:w="5494" w:type="dxa"/>
            <w:gridSpan w:val="4"/>
          </w:tcPr>
          <w:p w:rsidR="000A52C4" w:rsidRDefault="000A52C4" w:rsidP="00B911B7">
            <w:pPr>
              <w:jc w:val="center"/>
              <w:rPr>
                <w:lang w:val="en-US"/>
              </w:rPr>
            </w:pPr>
            <w:r>
              <w:rPr>
                <w:lang w:val="en-US"/>
              </w:rPr>
              <w:t>Example parameter sets</w:t>
            </w:r>
          </w:p>
        </w:tc>
      </w:tr>
      <w:tr w:rsidR="000A52C4" w:rsidTr="00B911B7">
        <w:tc>
          <w:tcPr>
            <w:tcW w:w="4361" w:type="dxa"/>
          </w:tcPr>
          <w:p w:rsidR="000A52C4" w:rsidRDefault="000A52C4" w:rsidP="0099089F">
            <w:pPr>
              <w:rPr>
                <w:lang w:val="en-US"/>
              </w:rPr>
            </w:pPr>
          </w:p>
        </w:tc>
        <w:tc>
          <w:tcPr>
            <w:tcW w:w="1269" w:type="dxa"/>
          </w:tcPr>
          <w:p w:rsidR="000A52C4" w:rsidRDefault="000A52C4" w:rsidP="00B911B7">
            <w:pPr>
              <w:jc w:val="center"/>
              <w:rPr>
                <w:lang w:val="en-US"/>
              </w:rPr>
            </w:pPr>
            <w:r>
              <w:rPr>
                <w:lang w:val="en-US"/>
              </w:rPr>
              <w:t>Example 1</w:t>
            </w:r>
          </w:p>
        </w:tc>
        <w:tc>
          <w:tcPr>
            <w:tcW w:w="1424" w:type="dxa"/>
          </w:tcPr>
          <w:p w:rsidR="000A52C4" w:rsidRDefault="000A52C4" w:rsidP="00B911B7">
            <w:pPr>
              <w:jc w:val="center"/>
              <w:rPr>
                <w:lang w:val="en-US"/>
              </w:rPr>
            </w:pPr>
            <w:r>
              <w:rPr>
                <w:lang w:val="en-US"/>
              </w:rPr>
              <w:t>Example 2</w:t>
            </w:r>
          </w:p>
        </w:tc>
        <w:tc>
          <w:tcPr>
            <w:tcW w:w="1276" w:type="dxa"/>
          </w:tcPr>
          <w:p w:rsidR="000A52C4" w:rsidRDefault="000A52C4" w:rsidP="00B911B7">
            <w:pPr>
              <w:jc w:val="center"/>
              <w:rPr>
                <w:lang w:val="en-US"/>
              </w:rPr>
            </w:pPr>
            <w:r>
              <w:rPr>
                <w:lang w:val="en-US"/>
              </w:rPr>
              <w:t>Example 3</w:t>
            </w:r>
          </w:p>
        </w:tc>
        <w:tc>
          <w:tcPr>
            <w:tcW w:w="1535" w:type="dxa"/>
            <w:gridSpan w:val="2"/>
          </w:tcPr>
          <w:p w:rsidR="000A52C4" w:rsidRDefault="000A52C4" w:rsidP="00B911B7">
            <w:pPr>
              <w:jc w:val="center"/>
              <w:rPr>
                <w:lang w:val="en-US"/>
              </w:rPr>
            </w:pPr>
            <w:r>
              <w:rPr>
                <w:lang w:val="en-US"/>
              </w:rPr>
              <w:t>Example 4</w:t>
            </w:r>
          </w:p>
        </w:tc>
      </w:tr>
      <w:tr w:rsidR="000A52C4" w:rsidTr="00B911B7">
        <w:tc>
          <w:tcPr>
            <w:tcW w:w="4361" w:type="dxa"/>
          </w:tcPr>
          <w:p w:rsidR="000A52C4" w:rsidRDefault="000A52C4" w:rsidP="000A52C4">
            <w:pPr>
              <w:rPr>
                <w:lang w:val="en-US"/>
              </w:rPr>
            </w:pPr>
            <w:r>
              <w:rPr>
                <w:lang w:val="en-US"/>
              </w:rPr>
              <w:t>Number of carriers on which the SRS carrier based switching should happen</w:t>
            </w:r>
          </w:p>
        </w:tc>
        <w:tc>
          <w:tcPr>
            <w:tcW w:w="1269" w:type="dxa"/>
          </w:tcPr>
          <w:p w:rsidR="000A52C4" w:rsidRDefault="000A52C4" w:rsidP="00B911B7">
            <w:pPr>
              <w:jc w:val="center"/>
              <w:rPr>
                <w:lang w:val="en-US"/>
              </w:rPr>
            </w:pPr>
            <w:r>
              <w:rPr>
                <w:lang w:val="en-US"/>
              </w:rPr>
              <w:t>2</w:t>
            </w:r>
          </w:p>
        </w:tc>
        <w:tc>
          <w:tcPr>
            <w:tcW w:w="1424" w:type="dxa"/>
          </w:tcPr>
          <w:p w:rsidR="000A52C4" w:rsidRDefault="000A52C4" w:rsidP="00B911B7">
            <w:pPr>
              <w:jc w:val="center"/>
              <w:rPr>
                <w:lang w:val="en-US"/>
              </w:rPr>
            </w:pPr>
            <w:r>
              <w:rPr>
                <w:lang w:val="en-US"/>
              </w:rPr>
              <w:t>4</w:t>
            </w:r>
          </w:p>
        </w:tc>
        <w:tc>
          <w:tcPr>
            <w:tcW w:w="1276" w:type="dxa"/>
          </w:tcPr>
          <w:p w:rsidR="000A52C4" w:rsidRDefault="000A52C4" w:rsidP="00B911B7">
            <w:pPr>
              <w:jc w:val="center"/>
              <w:rPr>
                <w:lang w:val="en-US"/>
              </w:rPr>
            </w:pPr>
            <w:r>
              <w:rPr>
                <w:lang w:val="en-US"/>
              </w:rPr>
              <w:t>2</w:t>
            </w:r>
          </w:p>
        </w:tc>
        <w:tc>
          <w:tcPr>
            <w:tcW w:w="1535" w:type="dxa"/>
            <w:gridSpan w:val="2"/>
          </w:tcPr>
          <w:p w:rsidR="000A52C4" w:rsidRDefault="000A52C4" w:rsidP="00B911B7">
            <w:pPr>
              <w:jc w:val="center"/>
              <w:rPr>
                <w:lang w:val="en-US"/>
              </w:rPr>
            </w:pPr>
            <w:r>
              <w:rPr>
                <w:lang w:val="en-US"/>
              </w:rPr>
              <w:t>4</w:t>
            </w:r>
          </w:p>
        </w:tc>
      </w:tr>
      <w:tr w:rsidR="000A52C4" w:rsidTr="00B911B7">
        <w:tc>
          <w:tcPr>
            <w:tcW w:w="4361" w:type="dxa"/>
          </w:tcPr>
          <w:p w:rsidR="000A52C4" w:rsidRDefault="000A52C4" w:rsidP="000A52C4">
            <w:pPr>
              <w:rPr>
                <w:lang w:val="en-US"/>
              </w:rPr>
            </w:pPr>
            <w:r>
              <w:rPr>
                <w:lang w:val="en-US"/>
              </w:rPr>
              <w:t>Periodicity of the switching (also provides the periodicity of the interruptions)</w:t>
            </w:r>
          </w:p>
        </w:tc>
        <w:tc>
          <w:tcPr>
            <w:tcW w:w="1269" w:type="dxa"/>
          </w:tcPr>
          <w:p w:rsidR="000A52C4" w:rsidRDefault="000A52C4" w:rsidP="00B911B7">
            <w:pPr>
              <w:jc w:val="center"/>
              <w:rPr>
                <w:lang w:val="en-US"/>
              </w:rPr>
            </w:pPr>
            <w:r>
              <w:rPr>
                <w:lang w:val="en-US"/>
              </w:rPr>
              <w:t>5</w:t>
            </w:r>
            <w:r>
              <w:rPr>
                <w:lang w:val="en-US"/>
              </w:rPr>
              <w:t>ms</w:t>
            </w:r>
          </w:p>
        </w:tc>
        <w:tc>
          <w:tcPr>
            <w:tcW w:w="1424" w:type="dxa"/>
          </w:tcPr>
          <w:p w:rsidR="000A52C4" w:rsidRDefault="000A52C4" w:rsidP="00B911B7">
            <w:pPr>
              <w:jc w:val="center"/>
              <w:rPr>
                <w:lang w:val="en-US"/>
              </w:rPr>
            </w:pPr>
            <w:r>
              <w:rPr>
                <w:lang w:val="en-US"/>
              </w:rPr>
              <w:t>5</w:t>
            </w:r>
            <w:r>
              <w:rPr>
                <w:lang w:val="en-US"/>
              </w:rPr>
              <w:t>ms</w:t>
            </w:r>
          </w:p>
        </w:tc>
        <w:tc>
          <w:tcPr>
            <w:tcW w:w="1276" w:type="dxa"/>
          </w:tcPr>
          <w:p w:rsidR="000A52C4" w:rsidRDefault="000A52C4" w:rsidP="00B911B7">
            <w:pPr>
              <w:jc w:val="center"/>
              <w:rPr>
                <w:lang w:val="en-US"/>
              </w:rPr>
            </w:pPr>
            <w:r>
              <w:rPr>
                <w:lang w:val="en-US"/>
              </w:rPr>
              <w:t>10ms</w:t>
            </w:r>
          </w:p>
        </w:tc>
        <w:tc>
          <w:tcPr>
            <w:tcW w:w="1535" w:type="dxa"/>
            <w:gridSpan w:val="2"/>
          </w:tcPr>
          <w:p w:rsidR="000A52C4" w:rsidRDefault="000A52C4" w:rsidP="00B911B7">
            <w:pPr>
              <w:jc w:val="center"/>
              <w:rPr>
                <w:lang w:val="en-US"/>
              </w:rPr>
            </w:pPr>
            <w:r>
              <w:rPr>
                <w:lang w:val="en-US"/>
              </w:rPr>
              <w:t>10ms</w:t>
            </w:r>
          </w:p>
        </w:tc>
      </w:tr>
      <w:tr w:rsidR="000A52C4" w:rsidTr="00B911B7">
        <w:tc>
          <w:tcPr>
            <w:tcW w:w="4361" w:type="dxa"/>
          </w:tcPr>
          <w:p w:rsidR="000A52C4" w:rsidRDefault="000A52C4" w:rsidP="000A52C4">
            <w:pPr>
              <w:rPr>
                <w:lang w:val="en-US"/>
              </w:rPr>
            </w:pPr>
            <w:r>
              <w:rPr>
                <w:lang w:val="en-US"/>
              </w:rPr>
              <w:t>Transmission gap required for application of relative power control parameters</w:t>
            </w:r>
          </w:p>
        </w:tc>
        <w:tc>
          <w:tcPr>
            <w:tcW w:w="1269" w:type="dxa"/>
          </w:tcPr>
          <w:p w:rsidR="000A52C4" w:rsidRDefault="000A52C4" w:rsidP="00B911B7">
            <w:pPr>
              <w:jc w:val="center"/>
              <w:rPr>
                <w:lang w:val="en-US"/>
              </w:rPr>
            </w:pPr>
            <w:r>
              <w:rPr>
                <w:lang w:val="en-US"/>
              </w:rPr>
              <w:t>1</w:t>
            </w:r>
            <w:r>
              <w:rPr>
                <w:lang w:val="en-US"/>
              </w:rPr>
              <w:t>0ms</w:t>
            </w:r>
          </w:p>
        </w:tc>
        <w:tc>
          <w:tcPr>
            <w:tcW w:w="1424" w:type="dxa"/>
          </w:tcPr>
          <w:p w:rsidR="000A52C4" w:rsidRDefault="000A52C4" w:rsidP="00B911B7">
            <w:pPr>
              <w:jc w:val="center"/>
              <w:rPr>
                <w:lang w:val="en-US"/>
              </w:rPr>
            </w:pPr>
            <w:r>
              <w:rPr>
                <w:lang w:val="en-US"/>
              </w:rPr>
              <w:t>20</w:t>
            </w:r>
            <w:r>
              <w:rPr>
                <w:lang w:val="en-US"/>
              </w:rPr>
              <w:t>ms</w:t>
            </w:r>
          </w:p>
        </w:tc>
        <w:tc>
          <w:tcPr>
            <w:tcW w:w="1276" w:type="dxa"/>
          </w:tcPr>
          <w:p w:rsidR="000A52C4" w:rsidRDefault="000A52C4" w:rsidP="00B911B7">
            <w:pPr>
              <w:jc w:val="center"/>
              <w:rPr>
                <w:lang w:val="en-US"/>
              </w:rPr>
            </w:pPr>
            <w:r>
              <w:rPr>
                <w:lang w:val="en-US"/>
              </w:rPr>
              <w:t>20ms</w:t>
            </w:r>
          </w:p>
        </w:tc>
        <w:tc>
          <w:tcPr>
            <w:tcW w:w="1535" w:type="dxa"/>
            <w:gridSpan w:val="2"/>
          </w:tcPr>
          <w:p w:rsidR="000A52C4" w:rsidRDefault="000A52C4" w:rsidP="00B911B7">
            <w:pPr>
              <w:jc w:val="center"/>
              <w:rPr>
                <w:lang w:val="en-US"/>
              </w:rPr>
            </w:pPr>
            <w:r>
              <w:rPr>
                <w:lang w:val="en-US"/>
              </w:rPr>
              <w:t>40ms</w:t>
            </w:r>
          </w:p>
        </w:tc>
      </w:tr>
    </w:tbl>
    <w:p w:rsidR="0099089F" w:rsidRDefault="0099089F" w:rsidP="00B911B7">
      <w:pPr>
        <w:rPr>
          <w:lang w:val="en-US"/>
        </w:rPr>
      </w:pPr>
    </w:p>
    <w:p w:rsidR="000A52C4" w:rsidRDefault="000A52C4" w:rsidP="00B911B7">
      <w:pPr>
        <w:rPr>
          <w:lang w:val="en-US"/>
        </w:rPr>
      </w:pPr>
      <w:r>
        <w:rPr>
          <w:lang w:val="en-US"/>
        </w:rPr>
        <w:t>As seen from the above table, when SRS switching periodicy is 5ms, then we may not need to change the UL PC accuracy requirements, however, this also means that, there will be an interruption all DL reception in every 5ms. Even for reasonable interruption requirements at the UE (e.g. &lt;250</w:t>
      </w:r>
      <w:r>
        <w:rPr>
          <w:rFonts w:cs="Arial"/>
          <w:lang w:val="en-US"/>
        </w:rPr>
        <w:t>µ</w:t>
      </w:r>
      <w:r>
        <w:rPr>
          <w:lang w:val="en-US"/>
        </w:rPr>
        <w:t>s), this could mean that, the SRS switching cannot be done so frequently.</w:t>
      </w:r>
    </w:p>
    <w:p w:rsidR="000A52C4" w:rsidRDefault="000A52C4" w:rsidP="00B911B7">
      <w:pPr>
        <w:rPr>
          <w:lang w:val="en-US"/>
        </w:rPr>
      </w:pPr>
      <w:r>
        <w:rPr>
          <w:lang w:val="en-US"/>
        </w:rPr>
        <w:t xml:space="preserve">From reasonable SRS switching periodicity point of view, 10ms could be a good number. In that case, we will need at least 40ms of transmission gap for any carrier when at least 4 carriers are involved in switching.  </w:t>
      </w:r>
    </w:p>
    <w:p w:rsidR="000A52C4" w:rsidRPr="0099089F" w:rsidRDefault="000A52C4" w:rsidP="00B911B7">
      <w:pPr>
        <w:rPr>
          <w:lang w:val="en-US"/>
        </w:rPr>
      </w:pPr>
      <w:r>
        <w:rPr>
          <w:lang w:val="en-US"/>
        </w:rPr>
        <w:t>For future, when we consider up to 32CCs, then we may need higher transmission gaps. However, increasing the gap higher than 40ms could become prohibitive, since the UL conditions may change such that relative PC parameters cannot be used in any case. One possible solution could be to transmit multiple SRS signals from the same UE in the same symbol.</w:t>
      </w:r>
    </w:p>
    <w:p w:rsidR="00E131D4" w:rsidRPr="00F264AB" w:rsidRDefault="00E131D4" w:rsidP="00BB312D"/>
    <w:p w:rsidR="00C01F33" w:rsidRDefault="00B911B7" w:rsidP="00C01F33">
      <w:pPr>
        <w:pStyle w:val="Heading1"/>
        <w:rPr>
          <w:lang w:val="en-US"/>
        </w:rPr>
      </w:pPr>
      <w:r>
        <w:rPr>
          <w:lang w:val="en-US"/>
        </w:rPr>
        <w:t>Summary</w:t>
      </w:r>
    </w:p>
    <w:p w:rsidR="000A52C4" w:rsidRPr="00B911B7" w:rsidRDefault="000A52C4" w:rsidP="00CF57DA">
      <w:pPr>
        <w:rPr>
          <w:lang w:val="en-US"/>
        </w:rPr>
      </w:pPr>
      <w:r w:rsidRPr="00B911B7">
        <w:rPr>
          <w:lang w:val="en-US"/>
        </w:rPr>
        <w:t xml:space="preserve">Based on the discussions in this paper, 40ms transmission gap between two transmission of an SRS only carrier can be specified for application of relative power control parameters. </w:t>
      </w:r>
    </w:p>
    <w:p w:rsidR="00CF57DA" w:rsidRPr="00B911B7" w:rsidRDefault="000A52C4" w:rsidP="00CF57DA">
      <w:pPr>
        <w:rPr>
          <w:lang w:val="en-US"/>
        </w:rPr>
      </w:pPr>
      <w:r w:rsidRPr="00B911B7">
        <w:rPr>
          <w:lang w:val="en-US"/>
        </w:rPr>
        <w:t>Based on this understanding, we proposed a CR in</w:t>
      </w:r>
      <w:r w:rsidR="00B911B7" w:rsidRPr="00B911B7">
        <w:rPr>
          <w:lang w:val="en-US"/>
        </w:rPr>
        <w:t xml:space="preserve"> </w:t>
      </w:r>
      <w:r w:rsidR="00B911B7" w:rsidRPr="00B911B7">
        <w:rPr>
          <w:lang w:val="en-US"/>
        </w:rPr>
        <w:fldChar w:fldCharType="begin"/>
      </w:r>
      <w:r w:rsidR="00B911B7" w:rsidRPr="00B911B7">
        <w:rPr>
          <w:lang w:val="en-US"/>
        </w:rPr>
        <w:instrText xml:space="preserve"> REF _Ref466023068 \r \h </w:instrText>
      </w:r>
      <w:r w:rsidR="00B911B7" w:rsidRPr="00B911B7">
        <w:rPr>
          <w:lang w:val="en-US"/>
        </w:rPr>
      </w:r>
      <w:r w:rsidR="00B911B7">
        <w:rPr>
          <w:lang w:val="en-US"/>
        </w:rPr>
        <w:instrText xml:space="preserve"> \* MERGEFORMAT </w:instrText>
      </w:r>
      <w:r w:rsidR="00B911B7" w:rsidRPr="00B911B7">
        <w:rPr>
          <w:lang w:val="en-US"/>
        </w:rPr>
        <w:fldChar w:fldCharType="separate"/>
      </w:r>
      <w:r w:rsidR="00B911B7" w:rsidRPr="00B911B7">
        <w:rPr>
          <w:lang w:val="en-US"/>
        </w:rPr>
        <w:t>[4]</w:t>
      </w:r>
      <w:r w:rsidR="00B911B7" w:rsidRPr="00B911B7">
        <w:rPr>
          <w:lang w:val="en-US"/>
        </w:rPr>
        <w:fldChar w:fldCharType="end"/>
      </w:r>
      <w:r w:rsidRPr="00B911B7">
        <w:rPr>
          <w:lang w:val="en-US"/>
        </w:rPr>
        <w:t xml:space="preserve"> </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4D36B1" w:rsidRPr="00253E53" w:rsidRDefault="00253E53" w:rsidP="00253E53">
      <w:pPr>
        <w:pStyle w:val="Reference"/>
        <w:rPr>
          <w:sz w:val="22"/>
          <w:szCs w:val="22"/>
          <w:lang w:val="en-US"/>
        </w:rPr>
      </w:pPr>
      <w:bookmarkStart w:id="4" w:name="_Ref174151459"/>
      <w:bookmarkStart w:id="5" w:name="_Ref189809556"/>
      <w:bookmarkStart w:id="6"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4"/>
      <w:r w:rsidR="00DC49B8" w:rsidRPr="00253E53">
        <w:rPr>
          <w:sz w:val="22"/>
          <w:szCs w:val="22"/>
          <w:lang w:val="en-US"/>
        </w:rPr>
        <w:t xml:space="preserve"> </w:t>
      </w:r>
      <w:r w:rsidRPr="00253E53">
        <w:rPr>
          <w:lang w:val="en-US"/>
        </w:rPr>
        <w:t>Huawei, HiSilicon</w:t>
      </w:r>
      <w:bookmarkEnd w:id="5"/>
      <w:r w:rsidR="00DD7794">
        <w:rPr>
          <w:lang w:val="en-US"/>
        </w:rPr>
        <w:t xml:space="preserve">, </w:t>
      </w:r>
      <w:r w:rsidRPr="00253E53">
        <w:rPr>
          <w:rFonts w:cs="Arial"/>
          <w:sz w:val="22"/>
          <w:szCs w:val="22"/>
          <w:lang w:val="en-US"/>
        </w:rPr>
        <w:t>3GPP TSG RAN Meeting #71, Göteborg, Sweden, March 7 - 10, 2016</w:t>
      </w:r>
      <w:bookmarkEnd w:id="6"/>
    </w:p>
    <w:p w:rsidR="00DD7794" w:rsidRDefault="00DD7794" w:rsidP="00DD7794">
      <w:pPr>
        <w:pStyle w:val="Reference"/>
        <w:rPr>
          <w:sz w:val="22"/>
          <w:szCs w:val="22"/>
          <w:lang w:val="en-US"/>
        </w:rPr>
      </w:pPr>
      <w:bookmarkStart w:id="7" w:name="_Ref450844166"/>
      <w:r w:rsidRPr="00365D6E">
        <w:rPr>
          <w:sz w:val="22"/>
          <w:szCs w:val="22"/>
          <w:lang w:val="en-US"/>
        </w:rPr>
        <w:t>R4-</w:t>
      </w:r>
      <w:r w:rsidR="0099089F" w:rsidRPr="00365D6E">
        <w:rPr>
          <w:sz w:val="22"/>
          <w:szCs w:val="22"/>
          <w:lang w:val="en-US"/>
        </w:rPr>
        <w:t>16</w:t>
      </w:r>
      <w:r w:rsidR="0099089F">
        <w:rPr>
          <w:sz w:val="22"/>
          <w:szCs w:val="22"/>
          <w:lang w:val="en-US"/>
        </w:rPr>
        <w:t>8541</w:t>
      </w:r>
      <w:r w:rsidRPr="00365D6E">
        <w:rPr>
          <w:sz w:val="22"/>
          <w:szCs w:val="22"/>
          <w:lang w:val="en-US"/>
        </w:rPr>
        <w:t xml:space="preserve">, </w:t>
      </w:r>
      <w:r w:rsidRPr="000144B3">
        <w:rPr>
          <w:sz w:val="22"/>
          <w:szCs w:val="22"/>
          <w:lang w:val="en-US"/>
        </w:rPr>
        <w:t>“Scenarios for SRS carrier based switching for LTE”, Ericsson</w:t>
      </w:r>
      <w:bookmarkEnd w:id="7"/>
    </w:p>
    <w:p w:rsidR="000144B3" w:rsidRDefault="000144B3" w:rsidP="000144B3">
      <w:pPr>
        <w:pStyle w:val="Reference"/>
        <w:rPr>
          <w:sz w:val="22"/>
          <w:szCs w:val="22"/>
          <w:lang w:val="sv-SE"/>
        </w:rPr>
      </w:pPr>
      <w:bookmarkStart w:id="8" w:name="_Ref450844429"/>
      <w:r w:rsidRPr="000144B3">
        <w:rPr>
          <w:sz w:val="22"/>
          <w:szCs w:val="22"/>
          <w:lang w:val="sv-SE"/>
        </w:rPr>
        <w:t>3G</w:t>
      </w:r>
      <w:r>
        <w:rPr>
          <w:sz w:val="22"/>
          <w:szCs w:val="22"/>
          <w:lang w:val="sv-SE"/>
        </w:rPr>
        <w:t>PP TS 36.101 V13.3.0 (2016-03)</w:t>
      </w:r>
      <w:bookmarkEnd w:id="8"/>
    </w:p>
    <w:p w:rsidR="000A52C4" w:rsidRPr="00B911B7" w:rsidRDefault="00B911B7" w:rsidP="00B911B7">
      <w:pPr>
        <w:pStyle w:val="Reference"/>
        <w:rPr>
          <w:sz w:val="22"/>
          <w:szCs w:val="22"/>
          <w:lang w:val="en-US"/>
        </w:rPr>
      </w:pPr>
      <w:bookmarkStart w:id="9" w:name="_Ref466023068"/>
      <w:r w:rsidRPr="00B911B7">
        <w:rPr>
          <w:sz w:val="22"/>
          <w:szCs w:val="22"/>
          <w:lang w:val="en-US"/>
        </w:rPr>
        <w:t>R4-16xxxxx,</w:t>
      </w:r>
      <w:bookmarkStart w:id="10" w:name="_GoBack"/>
      <w:bookmarkEnd w:id="10"/>
      <w:r w:rsidRPr="00B911B7">
        <w:rPr>
          <w:sz w:val="22"/>
          <w:szCs w:val="22"/>
          <w:lang w:val="en-US"/>
        </w:rPr>
        <w:t>”</w:t>
      </w:r>
      <w:r w:rsidRPr="00B911B7">
        <w:t xml:space="preserve"> </w:t>
      </w:r>
      <w:r w:rsidRPr="00B911B7">
        <w:rPr>
          <w:sz w:val="22"/>
          <w:szCs w:val="22"/>
          <w:lang w:val="en-US"/>
        </w:rPr>
        <w:t>PC accuracy in SRS carrier based switching in UE core spec”</w:t>
      </w:r>
      <w:r>
        <w:rPr>
          <w:sz w:val="22"/>
          <w:szCs w:val="22"/>
          <w:lang w:val="en-US"/>
        </w:rPr>
        <w:t>, Ericsson</w:t>
      </w:r>
      <w:bookmarkEnd w:id="9"/>
    </w:p>
    <w:p w:rsidR="00112552" w:rsidRPr="00FB4264" w:rsidRDefault="00112552" w:rsidP="00FB4264">
      <w:pPr>
        <w:pStyle w:val="Reference"/>
        <w:numPr>
          <w:ilvl w:val="0"/>
          <w:numId w:val="0"/>
        </w:numPr>
        <w:ind w:left="567"/>
        <w:rPr>
          <w:sz w:val="22"/>
          <w:szCs w:val="22"/>
          <w:lang w:val="en-US"/>
        </w:rPr>
      </w:pPr>
    </w:p>
    <w:sectPr w:rsidR="00112552" w:rsidRPr="00FB426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D0A" w:rsidRDefault="00B34D0A">
      <w:r>
        <w:separator/>
      </w:r>
    </w:p>
  </w:endnote>
  <w:endnote w:type="continuationSeparator" w:id="0">
    <w:p w:rsidR="00B34D0A" w:rsidRDefault="00B3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11B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1B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D0A" w:rsidRDefault="00B34D0A">
      <w:r>
        <w:separator/>
      </w:r>
    </w:p>
  </w:footnote>
  <w:footnote w:type="continuationSeparator" w:id="0">
    <w:p w:rsidR="00B34D0A" w:rsidRDefault="00B34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4E809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347B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DE63F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7000DDF"/>
    <w:multiLevelType w:val="hybridMultilevel"/>
    <w:tmpl w:val="1018D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1"/>
  </w:num>
  <w:num w:numId="4">
    <w:abstractNumId w:val="22"/>
  </w:num>
  <w:num w:numId="5">
    <w:abstractNumId w:val="15"/>
  </w:num>
  <w:num w:numId="6">
    <w:abstractNumId w:val="24"/>
  </w:num>
  <w:num w:numId="7">
    <w:abstractNumId w:val="28"/>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0"/>
  </w:num>
  <w:num w:numId="17">
    <w:abstractNumId w:val="31"/>
  </w:num>
  <w:num w:numId="18">
    <w:abstractNumId w:val="34"/>
  </w:num>
  <w:num w:numId="19">
    <w:abstractNumId w:val="29"/>
  </w:num>
  <w:num w:numId="20">
    <w:abstractNumId w:val="19"/>
  </w:num>
  <w:num w:numId="21">
    <w:abstractNumId w:val="27"/>
  </w:num>
  <w:num w:numId="22">
    <w:abstractNumId w:val="23"/>
  </w:num>
  <w:num w:numId="23">
    <w:abstractNumId w:val="7"/>
  </w:num>
  <w:num w:numId="24">
    <w:abstractNumId w:val="35"/>
  </w:num>
  <w:num w:numId="25">
    <w:abstractNumId w:val="6"/>
  </w:num>
  <w:num w:numId="26">
    <w:abstractNumId w:val="25"/>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2"/>
  </w:num>
  <w:num w:numId="35">
    <w:abstractNumId w:val="26"/>
  </w:num>
  <w:num w:numId="36">
    <w:abstractNumId w:val="36"/>
  </w:num>
  <w:num w:numId="37">
    <w:abstractNumId w:val="12"/>
  </w:num>
  <w:num w:numId="38">
    <w:abstractNumId w:val="3"/>
  </w:num>
  <w:num w:numId="3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4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2917"/>
    <w:rsid w:val="00077E5F"/>
    <w:rsid w:val="0008036A"/>
    <w:rsid w:val="00081AE6"/>
    <w:rsid w:val="000855EB"/>
    <w:rsid w:val="00085B52"/>
    <w:rsid w:val="000866F2"/>
    <w:rsid w:val="0009009F"/>
    <w:rsid w:val="00090658"/>
    <w:rsid w:val="00091557"/>
    <w:rsid w:val="0009238F"/>
    <w:rsid w:val="000924C1"/>
    <w:rsid w:val="000924F0"/>
    <w:rsid w:val="00093474"/>
    <w:rsid w:val="0009510F"/>
    <w:rsid w:val="000A1B7B"/>
    <w:rsid w:val="000A52C4"/>
    <w:rsid w:val="000A56F2"/>
    <w:rsid w:val="000A6358"/>
    <w:rsid w:val="000B2719"/>
    <w:rsid w:val="000B3A8F"/>
    <w:rsid w:val="000B3B40"/>
    <w:rsid w:val="000B4AB9"/>
    <w:rsid w:val="000B58C3"/>
    <w:rsid w:val="000B5C89"/>
    <w:rsid w:val="000B61E9"/>
    <w:rsid w:val="000C165A"/>
    <w:rsid w:val="000C2E19"/>
    <w:rsid w:val="000C46D5"/>
    <w:rsid w:val="000D0D07"/>
    <w:rsid w:val="000D4797"/>
    <w:rsid w:val="000D627C"/>
    <w:rsid w:val="000E0527"/>
    <w:rsid w:val="000E1E92"/>
    <w:rsid w:val="000E5BBE"/>
    <w:rsid w:val="000F06D6"/>
    <w:rsid w:val="000F0EB1"/>
    <w:rsid w:val="000F1106"/>
    <w:rsid w:val="000F3BE9"/>
    <w:rsid w:val="000F3F6C"/>
    <w:rsid w:val="000F4212"/>
    <w:rsid w:val="000F6DF3"/>
    <w:rsid w:val="000F7742"/>
    <w:rsid w:val="001005FF"/>
    <w:rsid w:val="00103BD6"/>
    <w:rsid w:val="001062FB"/>
    <w:rsid w:val="001063E6"/>
    <w:rsid w:val="00112552"/>
    <w:rsid w:val="00112F35"/>
    <w:rsid w:val="00113CF4"/>
    <w:rsid w:val="001153EA"/>
    <w:rsid w:val="00115643"/>
    <w:rsid w:val="00115F11"/>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2388"/>
    <w:rsid w:val="001B5A5D"/>
    <w:rsid w:val="001C0345"/>
    <w:rsid w:val="001C0955"/>
    <w:rsid w:val="001C1CE5"/>
    <w:rsid w:val="001C3027"/>
    <w:rsid w:val="001C3D2A"/>
    <w:rsid w:val="001C4220"/>
    <w:rsid w:val="001C4F57"/>
    <w:rsid w:val="001D51BA"/>
    <w:rsid w:val="001D6342"/>
    <w:rsid w:val="001D6D53"/>
    <w:rsid w:val="001D7E2C"/>
    <w:rsid w:val="001E58E2"/>
    <w:rsid w:val="001E5C2B"/>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723"/>
    <w:rsid w:val="002458EB"/>
    <w:rsid w:val="002500C8"/>
    <w:rsid w:val="00253E53"/>
    <w:rsid w:val="00257543"/>
    <w:rsid w:val="002617E7"/>
    <w:rsid w:val="00264228"/>
    <w:rsid w:val="00264334"/>
    <w:rsid w:val="002646DE"/>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223"/>
    <w:rsid w:val="002A055E"/>
    <w:rsid w:val="002A1D4E"/>
    <w:rsid w:val="002A2869"/>
    <w:rsid w:val="002B1119"/>
    <w:rsid w:val="002B24D6"/>
    <w:rsid w:val="002B33DF"/>
    <w:rsid w:val="002C41E6"/>
    <w:rsid w:val="002D071A"/>
    <w:rsid w:val="002D34B2"/>
    <w:rsid w:val="002D7637"/>
    <w:rsid w:val="002E17F2"/>
    <w:rsid w:val="002E7CAE"/>
    <w:rsid w:val="002F2771"/>
    <w:rsid w:val="002F37A9"/>
    <w:rsid w:val="002F57A0"/>
    <w:rsid w:val="00301CE6"/>
    <w:rsid w:val="0030256B"/>
    <w:rsid w:val="00304492"/>
    <w:rsid w:val="0030501F"/>
    <w:rsid w:val="00307BA1"/>
    <w:rsid w:val="00311702"/>
    <w:rsid w:val="00311E82"/>
    <w:rsid w:val="00312081"/>
    <w:rsid w:val="003133BF"/>
    <w:rsid w:val="00313FD6"/>
    <w:rsid w:val="003143BD"/>
    <w:rsid w:val="003203ED"/>
    <w:rsid w:val="00321795"/>
    <w:rsid w:val="00322C9F"/>
    <w:rsid w:val="00324D23"/>
    <w:rsid w:val="0032670E"/>
    <w:rsid w:val="00331751"/>
    <w:rsid w:val="00334579"/>
    <w:rsid w:val="00335858"/>
    <w:rsid w:val="00336BDA"/>
    <w:rsid w:val="00342BD7"/>
    <w:rsid w:val="00346DB5"/>
    <w:rsid w:val="003477B1"/>
    <w:rsid w:val="00357380"/>
    <w:rsid w:val="003602D9"/>
    <w:rsid w:val="003604CE"/>
    <w:rsid w:val="00365D6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4249"/>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C26"/>
    <w:rsid w:val="00433AF3"/>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781"/>
    <w:rsid w:val="005219CF"/>
    <w:rsid w:val="005270CC"/>
    <w:rsid w:val="00534B59"/>
    <w:rsid w:val="00536759"/>
    <w:rsid w:val="00537C62"/>
    <w:rsid w:val="00546970"/>
    <w:rsid w:val="00550C36"/>
    <w:rsid w:val="005536C2"/>
    <w:rsid w:val="00554699"/>
    <w:rsid w:val="00554E19"/>
    <w:rsid w:val="0056121F"/>
    <w:rsid w:val="00565A68"/>
    <w:rsid w:val="00572505"/>
    <w:rsid w:val="00582809"/>
    <w:rsid w:val="0058798C"/>
    <w:rsid w:val="005900FA"/>
    <w:rsid w:val="005935A4"/>
    <w:rsid w:val="005948C2"/>
    <w:rsid w:val="00595DCA"/>
    <w:rsid w:val="00596666"/>
    <w:rsid w:val="0059779B"/>
    <w:rsid w:val="005A209A"/>
    <w:rsid w:val="005A553E"/>
    <w:rsid w:val="005A662D"/>
    <w:rsid w:val="005B126D"/>
    <w:rsid w:val="005B35D7"/>
    <w:rsid w:val="005B392A"/>
    <w:rsid w:val="005B3AA3"/>
    <w:rsid w:val="005B6476"/>
    <w:rsid w:val="005B6F83"/>
    <w:rsid w:val="005C67DB"/>
    <w:rsid w:val="005C70CE"/>
    <w:rsid w:val="005C74FB"/>
    <w:rsid w:val="005D1602"/>
    <w:rsid w:val="005D6C59"/>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6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3E2"/>
    <w:rsid w:val="00696949"/>
    <w:rsid w:val="00697052"/>
    <w:rsid w:val="006A46FB"/>
    <w:rsid w:val="006A49A5"/>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68A1"/>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190F"/>
    <w:rsid w:val="007F7DCF"/>
    <w:rsid w:val="00803FAE"/>
    <w:rsid w:val="00805DC4"/>
    <w:rsid w:val="0080605F"/>
    <w:rsid w:val="0080697A"/>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025"/>
    <w:rsid w:val="008444E8"/>
    <w:rsid w:val="00844E80"/>
    <w:rsid w:val="00846FE7"/>
    <w:rsid w:val="00856911"/>
    <w:rsid w:val="00860037"/>
    <w:rsid w:val="00865524"/>
    <w:rsid w:val="008677FD"/>
    <w:rsid w:val="00867A7D"/>
    <w:rsid w:val="008706D4"/>
    <w:rsid w:val="00870F8A"/>
    <w:rsid w:val="008719A4"/>
    <w:rsid w:val="00871D23"/>
    <w:rsid w:val="00874312"/>
    <w:rsid w:val="0087437C"/>
    <w:rsid w:val="008755C4"/>
    <w:rsid w:val="00875CD7"/>
    <w:rsid w:val="00876B4D"/>
    <w:rsid w:val="00877F18"/>
    <w:rsid w:val="00881F2F"/>
    <w:rsid w:val="00887B46"/>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7E2A"/>
    <w:rsid w:val="008F14D1"/>
    <w:rsid w:val="008F1EAB"/>
    <w:rsid w:val="008F2F68"/>
    <w:rsid w:val="008F33DC"/>
    <w:rsid w:val="008F477F"/>
    <w:rsid w:val="008F6358"/>
    <w:rsid w:val="009014DE"/>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422"/>
    <w:rsid w:val="00953920"/>
    <w:rsid w:val="00953D47"/>
    <w:rsid w:val="00954152"/>
    <w:rsid w:val="0095681E"/>
    <w:rsid w:val="009572D4"/>
    <w:rsid w:val="00961921"/>
    <w:rsid w:val="0096430A"/>
    <w:rsid w:val="0096477F"/>
    <w:rsid w:val="0096554B"/>
    <w:rsid w:val="0096584A"/>
    <w:rsid w:val="00971F08"/>
    <w:rsid w:val="0097603D"/>
    <w:rsid w:val="00976949"/>
    <w:rsid w:val="00980477"/>
    <w:rsid w:val="00984671"/>
    <w:rsid w:val="00985253"/>
    <w:rsid w:val="009853B3"/>
    <w:rsid w:val="00990630"/>
    <w:rsid w:val="0099089F"/>
    <w:rsid w:val="00991761"/>
    <w:rsid w:val="00994DCA"/>
    <w:rsid w:val="009960EC"/>
    <w:rsid w:val="009970DD"/>
    <w:rsid w:val="009A0FBA"/>
    <w:rsid w:val="009A1601"/>
    <w:rsid w:val="009A4514"/>
    <w:rsid w:val="009A462D"/>
    <w:rsid w:val="009A5CBA"/>
    <w:rsid w:val="009B1F30"/>
    <w:rsid w:val="009B3AC2"/>
    <w:rsid w:val="009B497B"/>
    <w:rsid w:val="009B4DF4"/>
    <w:rsid w:val="009B564E"/>
    <w:rsid w:val="009B7E87"/>
    <w:rsid w:val="009C0D4F"/>
    <w:rsid w:val="009C403E"/>
    <w:rsid w:val="009D1E33"/>
    <w:rsid w:val="009D4FF0"/>
    <w:rsid w:val="009D703C"/>
    <w:rsid w:val="009D718F"/>
    <w:rsid w:val="009E068F"/>
    <w:rsid w:val="009E14E0"/>
    <w:rsid w:val="009E35DB"/>
    <w:rsid w:val="009E47A3"/>
    <w:rsid w:val="009E6179"/>
    <w:rsid w:val="009F08F3"/>
    <w:rsid w:val="009F344F"/>
    <w:rsid w:val="00A048A8"/>
    <w:rsid w:val="00A101F1"/>
    <w:rsid w:val="00A13E54"/>
    <w:rsid w:val="00A16C26"/>
    <w:rsid w:val="00A17F63"/>
    <w:rsid w:val="00A2193B"/>
    <w:rsid w:val="00A2351A"/>
    <w:rsid w:val="00A264A9"/>
    <w:rsid w:val="00A27785"/>
    <w:rsid w:val="00A30187"/>
    <w:rsid w:val="00A33D5C"/>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5B2"/>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7C1"/>
    <w:rsid w:val="00AC2ECD"/>
    <w:rsid w:val="00AC3119"/>
    <w:rsid w:val="00AC3909"/>
    <w:rsid w:val="00AC49FB"/>
    <w:rsid w:val="00AC5A10"/>
    <w:rsid w:val="00AD0AA3"/>
    <w:rsid w:val="00AD0BB1"/>
    <w:rsid w:val="00AD2642"/>
    <w:rsid w:val="00AD38BA"/>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3449"/>
    <w:rsid w:val="00B05084"/>
    <w:rsid w:val="00B12A07"/>
    <w:rsid w:val="00B157F9"/>
    <w:rsid w:val="00B20256"/>
    <w:rsid w:val="00B20D09"/>
    <w:rsid w:val="00B26EDF"/>
    <w:rsid w:val="00B2763F"/>
    <w:rsid w:val="00B27AAC"/>
    <w:rsid w:val="00B30929"/>
    <w:rsid w:val="00B31D99"/>
    <w:rsid w:val="00B34D0A"/>
    <w:rsid w:val="00B372AA"/>
    <w:rsid w:val="00B40445"/>
    <w:rsid w:val="00B41888"/>
    <w:rsid w:val="00B45A52"/>
    <w:rsid w:val="00B46175"/>
    <w:rsid w:val="00B5330B"/>
    <w:rsid w:val="00B664C7"/>
    <w:rsid w:val="00B708F7"/>
    <w:rsid w:val="00B739F6"/>
    <w:rsid w:val="00B81A6C"/>
    <w:rsid w:val="00B83D6A"/>
    <w:rsid w:val="00B85DE5"/>
    <w:rsid w:val="00B90F73"/>
    <w:rsid w:val="00B911B7"/>
    <w:rsid w:val="00B9186D"/>
    <w:rsid w:val="00B93B59"/>
    <w:rsid w:val="00B9406A"/>
    <w:rsid w:val="00BA2280"/>
    <w:rsid w:val="00BA24A1"/>
    <w:rsid w:val="00BA2A08"/>
    <w:rsid w:val="00BA56D2"/>
    <w:rsid w:val="00BA76E0"/>
    <w:rsid w:val="00BB2A25"/>
    <w:rsid w:val="00BB312D"/>
    <w:rsid w:val="00BB51E9"/>
    <w:rsid w:val="00BC0FDC"/>
    <w:rsid w:val="00BC3053"/>
    <w:rsid w:val="00BC4D2E"/>
    <w:rsid w:val="00BC590C"/>
    <w:rsid w:val="00BD3785"/>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4B8F"/>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6015"/>
    <w:rsid w:val="00CE7561"/>
    <w:rsid w:val="00CE788A"/>
    <w:rsid w:val="00CF1354"/>
    <w:rsid w:val="00CF1DB2"/>
    <w:rsid w:val="00CF3B1F"/>
    <w:rsid w:val="00CF3BF6"/>
    <w:rsid w:val="00CF57DA"/>
    <w:rsid w:val="00CF625B"/>
    <w:rsid w:val="00CF687E"/>
    <w:rsid w:val="00D0349B"/>
    <w:rsid w:val="00D10249"/>
    <w:rsid w:val="00D115C3"/>
    <w:rsid w:val="00D11897"/>
    <w:rsid w:val="00D13135"/>
    <w:rsid w:val="00D13571"/>
    <w:rsid w:val="00D13E4E"/>
    <w:rsid w:val="00D15D2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54"/>
    <w:rsid w:val="00D708B0"/>
    <w:rsid w:val="00D70FCF"/>
    <w:rsid w:val="00D77B1D"/>
    <w:rsid w:val="00D8021F"/>
    <w:rsid w:val="00D80383"/>
    <w:rsid w:val="00D823C6"/>
    <w:rsid w:val="00D869E1"/>
    <w:rsid w:val="00D86CA3"/>
    <w:rsid w:val="00D871CE"/>
    <w:rsid w:val="00D9196D"/>
    <w:rsid w:val="00D92982"/>
    <w:rsid w:val="00D92FC5"/>
    <w:rsid w:val="00D95C04"/>
    <w:rsid w:val="00DA305E"/>
    <w:rsid w:val="00DA5417"/>
    <w:rsid w:val="00DA56E8"/>
    <w:rsid w:val="00DB0009"/>
    <w:rsid w:val="00DB27F0"/>
    <w:rsid w:val="00DB377D"/>
    <w:rsid w:val="00DC2D36"/>
    <w:rsid w:val="00DC4220"/>
    <w:rsid w:val="00DC49B8"/>
    <w:rsid w:val="00DC53EF"/>
    <w:rsid w:val="00DC6A6D"/>
    <w:rsid w:val="00DD5DFE"/>
    <w:rsid w:val="00DD7794"/>
    <w:rsid w:val="00DE35AD"/>
    <w:rsid w:val="00DE5608"/>
    <w:rsid w:val="00DE582F"/>
    <w:rsid w:val="00DE58D0"/>
    <w:rsid w:val="00DE654F"/>
    <w:rsid w:val="00DE761A"/>
    <w:rsid w:val="00DF0B6E"/>
    <w:rsid w:val="00DF15E0"/>
    <w:rsid w:val="00DF189F"/>
    <w:rsid w:val="00DF36BF"/>
    <w:rsid w:val="00DF37A0"/>
    <w:rsid w:val="00E10F57"/>
    <w:rsid w:val="00E110E7"/>
    <w:rsid w:val="00E11B20"/>
    <w:rsid w:val="00E131D4"/>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50DD"/>
    <w:rsid w:val="00E46886"/>
    <w:rsid w:val="00E47AEF"/>
    <w:rsid w:val="00E53B75"/>
    <w:rsid w:val="00E54E3B"/>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203"/>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E4D9A"/>
    <w:rsid w:val="00EF18FE"/>
    <w:rsid w:val="00EF2B48"/>
    <w:rsid w:val="00EF5787"/>
    <w:rsid w:val="00EF60D0"/>
    <w:rsid w:val="00F02717"/>
    <w:rsid w:val="00F0528D"/>
    <w:rsid w:val="00F06C67"/>
    <w:rsid w:val="00F06DFD"/>
    <w:rsid w:val="00F071D1"/>
    <w:rsid w:val="00F07533"/>
    <w:rsid w:val="00F10629"/>
    <w:rsid w:val="00F136FF"/>
    <w:rsid w:val="00F15FA5"/>
    <w:rsid w:val="00F209B7"/>
    <w:rsid w:val="00F2376F"/>
    <w:rsid w:val="00F243D8"/>
    <w:rsid w:val="00F264AB"/>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51FE"/>
    <w:rsid w:val="00F95EE3"/>
    <w:rsid w:val="00F96985"/>
    <w:rsid w:val="00F97838"/>
    <w:rsid w:val="00FA2BB3"/>
    <w:rsid w:val="00FB4264"/>
    <w:rsid w:val="00FB4C80"/>
    <w:rsid w:val="00FB528C"/>
    <w:rsid w:val="00FB52F6"/>
    <w:rsid w:val="00FB6A6A"/>
    <w:rsid w:val="00FC5AC7"/>
    <w:rsid w:val="00FC7429"/>
    <w:rsid w:val="00FD07F6"/>
    <w:rsid w:val="00FD1EC8"/>
    <w:rsid w:val="00FD47ED"/>
    <w:rsid w:val="00FD61E8"/>
    <w:rsid w:val="00FD74DB"/>
    <w:rsid w:val="00FD7660"/>
    <w:rsid w:val="00FE0655"/>
    <w:rsid w:val="00FE2365"/>
    <w:rsid w:val="00FE4C7B"/>
    <w:rsid w:val="00FE59D6"/>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3A2D2"/>
  <w15:docId w15:val="{A8790F36-277C-4F41-AEB3-75353677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0547">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2218165">
      <w:bodyDiv w:val="1"/>
      <w:marLeft w:val="0"/>
      <w:marRight w:val="0"/>
      <w:marTop w:val="0"/>
      <w:marBottom w:val="0"/>
      <w:divBdr>
        <w:top w:val="none" w:sz="0" w:space="0" w:color="auto"/>
        <w:left w:val="none" w:sz="0" w:space="0" w:color="auto"/>
        <w:bottom w:val="none" w:sz="0" w:space="0" w:color="auto"/>
        <w:right w:val="none" w:sz="0" w:space="0" w:color="auto"/>
      </w:divBdr>
    </w:div>
    <w:div w:id="463471977">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1884820">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6B1D1-ED05-4531-A975-2B836C19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39</TotalTime>
  <Pages>2</Pages>
  <Words>907</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2016-10-31T13:03:00Z</dcterms:created>
  <dcterms:modified xsi:type="dcterms:W3CDTF">2016-11-04T10:43:00Z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